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20" w:name="X56a192b7913b04c54574d18c28d46e6395428ab"/>
    <w:p>
      <w:pPr>
        <w:pStyle w:val="Heading1"/>
      </w:pPr>
      <w:r>
        <w:t xml:space="preserve">1</w:t>
      </w:r>
    </w:p>
    <w:p>
      <w:pPr>
        <w:numPr>
          <w:ilvl w:val="0"/>
          <w:numId w:val="1001"/>
        </w:numPr>
      </w:pPr>
      <w:r>
        <w:t xml:space="preserve">类型不匹配</w:t>
      </w:r>
    </w:p>
    <w:p>
      <w:pPr>
        <w:numPr>
          <w:ilvl w:val="0"/>
          <w:numId w:val="1001"/>
        </w:numPr>
      </w:pPr>
      <w:r>
        <w:t xml:space="preserve">不能同时为内存单元</w:t>
      </w:r>
    </w:p>
    <w:p>
      <w:pPr>
        <w:numPr>
          <w:ilvl w:val="0"/>
          <w:numId w:val="1001"/>
        </w:numPr>
      </w:pPr>
      <w:r>
        <w:t xml:space="preserve">寻址方式错误，[变址][变址]是错误的，只能搭配[基址][变址]</w:t>
      </w:r>
    </w:p>
    <w:p>
      <w:pPr>
        <w:numPr>
          <w:ilvl w:val="0"/>
          <w:numId w:val="1001"/>
        </w:numPr>
      </w:pPr>
      <w:r>
        <w:t xml:space="preserve">AX寄存器不能用于寄存器间接寻址</w:t>
      </w:r>
    </w:p>
    <w:p>
      <w:pPr>
        <w:numPr>
          <w:ilvl w:val="0"/>
          <w:numId w:val="1001"/>
        </w:numPr>
      </w:pPr>
      <w:r>
        <w:t xml:space="preserve">不能使用MOV指令修改CS，CS只能用JMP指令修改</w:t>
      </w:r>
    </w:p>
    <w:bookmarkEnd w:id="20"/>
    <w:bookmarkStart w:id="21" w:name="Xa4b9237bacccdf19c0760cab7aec4a8359010b0"/>
    <w:p>
      <w:pPr>
        <w:pStyle w:val="Heading1"/>
      </w:pPr>
      <w:r>
        <w:t xml:space="preserve">2</w:t>
      </w:r>
    </w:p>
    <w:p>
      <w:pPr>
        <w:numPr>
          <w:ilvl w:val="0"/>
          <w:numId w:val="1002"/>
        </w:numPr>
      </w:pPr>
      <w:r>
        <w:t xml:space="preserve">非法 OPR1不能是立即数</w:t>
      </w:r>
    </w:p>
    <w:p>
      <w:pPr>
        <w:numPr>
          <w:ilvl w:val="0"/>
          <w:numId w:val="1002"/>
        </w:numPr>
      </w:pPr>
      <w:r>
        <w:t xml:space="preserve">合法</w:t>
      </w:r>
    </w:p>
    <w:p>
      <w:pPr>
        <w:numPr>
          <w:ilvl w:val="0"/>
          <w:numId w:val="1002"/>
        </w:numPr>
      </w:pPr>
      <w:r>
        <w:t xml:space="preserve">OPR1和OPR2不能同时为存储器</w:t>
      </w:r>
    </w:p>
    <w:p>
      <w:pPr>
        <w:numPr>
          <w:ilvl w:val="0"/>
          <w:numId w:val="1002"/>
        </w:numPr>
      </w:pPr>
      <w:r>
        <w:t xml:space="preserve">合法</w:t>
      </w:r>
    </w:p>
    <w:bookmarkEnd w:id="21"/>
    <w:bookmarkStart w:id="22" w:name="X7de68daecd823babbb58edb1c8e14d7106e83bb"/>
    <w:p>
      <w:pPr>
        <w:pStyle w:val="Heading1"/>
      </w:pPr>
      <w:r>
        <w:t xml:space="preserve">3</w:t>
      </w:r>
    </w:p>
    <w:p>
      <w:pPr>
        <w:numPr>
          <w:ilvl w:val="0"/>
          <w:numId w:val="1003"/>
        </w:numPr>
      </w:pPr>
      <w:r>
        <w:t xml:space="preserve">非法 类型不匹配</w:t>
      </w:r>
    </w:p>
    <w:p>
      <w:pPr>
        <w:numPr>
          <w:ilvl w:val="0"/>
          <w:numId w:val="1003"/>
        </w:numPr>
      </w:pPr>
      <w:r>
        <w:t xml:space="preserve">合法</w:t>
      </w:r>
    </w:p>
    <w:p>
      <w:pPr>
        <w:numPr>
          <w:ilvl w:val="0"/>
          <w:numId w:val="1003"/>
        </w:numPr>
      </w:pPr>
      <w:r>
        <w:t xml:space="preserve">非法 DST和SRC不能同时为存储器寻址，因为不能确定两者位宽是否匹配</w:t>
      </w:r>
    </w:p>
    <w:p>
      <w:pPr>
        <w:numPr>
          <w:ilvl w:val="0"/>
          <w:numId w:val="1003"/>
        </w:numPr>
      </w:pPr>
      <w:r>
        <w:t xml:space="preserve">非法 DX寄存器不能用于寄存器间接寻址</w:t>
      </w:r>
    </w:p>
    <w:p>
      <w:pPr>
        <w:numPr>
          <w:ilvl w:val="0"/>
          <w:numId w:val="1003"/>
        </w:numPr>
      </w:pPr>
      <w:r>
        <w:t xml:space="preserve">非法 DS无变址与其搭配</w:t>
      </w:r>
    </w:p>
    <w:p>
      <w:pPr>
        <w:numPr>
          <w:ilvl w:val="0"/>
          <w:numId w:val="1003"/>
        </w:numPr>
      </w:pPr>
      <w:r>
        <w:t xml:space="preserve">合法</w:t>
      </w:r>
    </w:p>
    <w:p>
      <w:pPr>
        <w:numPr>
          <w:ilvl w:val="0"/>
          <w:numId w:val="1003"/>
        </w:numPr>
      </w:pPr>
      <w:r>
        <w:t xml:space="preserve">合法</w:t>
      </w:r>
    </w:p>
    <w:bookmarkEnd w:id="22"/>
    <w:bookmarkStart w:id="23" w:name="Xb6453892473a467d07372d45eb05abc2031647a"/>
    <w:p>
      <w:pPr>
        <w:pStyle w:val="Heading1"/>
      </w:pPr>
      <w:r>
        <w:t xml:space="preserve">4</w:t>
      </w:r>
    </w:p>
    <w:p>
      <w:pPr>
        <w:numPr>
          <w:ilvl w:val="0"/>
          <w:numId w:val="1004"/>
        </w:numPr>
      </w:pPr>
      <w:r>
        <w:t xml:space="preserve">MOV AX, OFFSET LNAME</w:t>
      </w:r>
    </w:p>
    <w:p>
      <w:pPr>
        <w:numPr>
          <w:ilvl w:val="0"/>
          <w:numId w:val="1004"/>
        </w:numPr>
      </w:pPr>
      <w:r>
        <w:t xml:space="preserve">MOV SI, WORD PTR CODE_LIST</w:t>
      </w:r>
    </w:p>
    <w:p>
      <w:pPr>
        <w:numPr>
          <w:ilvl w:val="0"/>
          <w:numId w:val="1004"/>
        </w:numPr>
      </w:pPr>
      <w:r>
        <w:t xml:space="preserve">CODE_LENGHT EQU $-CODE_LIST</w:t>
      </w:r>
    </w:p>
    <w:bookmarkEnd w:id="23"/>
    <w:bookmarkStart w:id="24" w:name="Xc3478d69a3c81fa62e60f5c3696165a4e5e6ac4"/>
    <w:p>
      <w:pPr>
        <w:pStyle w:val="Heading1"/>
      </w:pPr>
      <w:r>
        <w:t xml:space="preserve">5</w:t>
      </w:r>
    </w:p>
    <w:p>
      <w:pPr>
        <w:numPr>
          <w:ilvl w:val="0"/>
          <w:numId w:val="1005"/>
        </w:numPr>
      </w:pPr>
      <w:r>
        <w:t xml:space="preserve">不需要</w:t>
      </w:r>
    </w:p>
    <w:p>
      <w:pPr>
        <w:numPr>
          <w:ilvl w:val="0"/>
          <w:numId w:val="1005"/>
        </w:numPr>
      </w:pPr>
      <w:r>
        <w:t xml:space="preserve">需要</w:t>
      </w:r>
    </w:p>
    <w:p>
      <w:pPr>
        <w:numPr>
          <w:ilvl w:val="0"/>
          <w:numId w:val="1005"/>
        </w:numPr>
      </w:pPr>
      <w:r>
        <w:t xml:space="preserve">需要</w:t>
      </w:r>
    </w:p>
    <w:p>
      <w:pPr>
        <w:numPr>
          <w:ilvl w:val="0"/>
          <w:numId w:val="1005"/>
        </w:numPr>
      </w:pPr>
      <w:r>
        <w:t xml:space="preserve">需要</w:t>
      </w:r>
    </w:p>
    <w:p>
      <w:pPr>
        <w:numPr>
          <w:ilvl w:val="0"/>
          <w:numId w:val="1005"/>
        </w:numPr>
      </w:pPr>
      <w:r>
        <w:t xml:space="preserve">不需要</w:t>
      </w:r>
    </w:p>
    <w:bookmarkEnd w:id="24"/>
    <w:bookmarkStart w:id="25" w:name="X1dfd96eea8cc2b62785275bca38ac261256e278"/>
    <w:p>
      <w:pPr>
        <w:pStyle w:val="Heading1"/>
      </w:pPr>
      <w:r>
        <w:t xml:space="preserve">6</w:t>
      </w:r>
    </w:p>
    <w:p>
      <w:pPr>
        <w:numPr>
          <w:ilvl w:val="0"/>
          <w:numId w:val="1006"/>
        </w:numPr>
      </w:pPr>
      <w:r>
        <w:t xml:space="preserve">1234H</w:t>
      </w:r>
    </w:p>
    <w:p>
      <w:pPr>
        <w:numPr>
          <w:ilvl w:val="0"/>
          <w:numId w:val="1006"/>
        </w:numPr>
      </w:pPr>
      <w:r>
        <w:t xml:space="preserve">0032H</w:t>
      </w:r>
    </w:p>
    <w:bookmarkEnd w:id="25"/>
    <w:bookmarkStart w:id="26" w:name="X02ba3cda1883801594b6e1b452790cc53948fda"/>
    <w:p>
      <w:pPr>
        <w:pStyle w:val="Heading1"/>
      </w:pPr>
      <w:r>
        <w:t xml:space="preserve">7</w:t>
      </w:r>
    </w:p>
    <w:tbl>
      <w:tblPr>
        <w:tblStyle w:val="Table"/>
        <w:tblW w:type="auto" w:w="0"/>
        <w:tblLook w:firstRow="1" w:lastRow="0" w:firstColumn="0" w:lastColumn="0" w:noHBand="0" w:noVBand="0" w:val="0020"/>
        <w:jc w:val="start"/>
      </w:tblPr>
      <w:tblGrid>
        <w:gridCol w:w="1584"/>
        <w:gridCol w:w="1584"/>
        <w:gridCol w:w="1584"/>
        <w:gridCol w:w="1584"/>
        <w:gridCol w:w="1584"/>
      </w:tblGrid>
      <w:tr>
        <w:trPr>
          <w:tblHeader w:val="true"/>
        </w:trPr>
        <w:tc>
          <w:tcPr/>
          <w:p>
            <w:pPr>
              <w:pStyle w:val="Compact"/>
              <w:jc w:val="left"/>
            </w:pPr>
            <w:r>
              <w:t xml:space="preserve">Instruction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AX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CF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SF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ZF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MOV AX, 1234H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1234H</w:t>
            </w:r>
          </w:p>
        </w:tc>
        <w:tc>
          <w:tcPr/>
          <w:p>
            <w:pPr>
              <w:pStyle w:val="Compact"/>
              <w:jc w:val="left"/>
            </w:pPr>
          </w:p>
        </w:tc>
        <w:tc>
          <w:tcPr/>
          <w:p>
            <w:pPr>
              <w:pStyle w:val="Compact"/>
              <w:jc w:val="left"/>
            </w:pPr>
          </w:p>
        </w:tc>
        <w:tc>
          <w:tcPr/>
          <w:p>
            <w:pPr>
              <w:pStyle w:val="Compact"/>
              <w:jc w:val="left"/>
            </w:pP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MOV CL, 4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1234H</w:t>
            </w:r>
          </w:p>
        </w:tc>
        <w:tc>
          <w:tcPr/>
          <w:p>
            <w:pPr>
              <w:pStyle w:val="Compact"/>
              <w:jc w:val="left"/>
            </w:pPr>
          </w:p>
        </w:tc>
        <w:tc>
          <w:tcPr/>
          <w:p>
            <w:pPr>
              <w:pStyle w:val="Compact"/>
              <w:jc w:val="left"/>
            </w:pPr>
          </w:p>
        </w:tc>
        <w:tc>
          <w:tcPr/>
          <w:p>
            <w:pPr>
              <w:pStyle w:val="Compact"/>
              <w:jc w:val="left"/>
            </w:pP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ROL AX, CL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2341H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1</w:t>
            </w:r>
          </w:p>
        </w:tc>
        <w:tc>
          <w:tcPr/>
          <w:p>
            <w:pPr>
              <w:pStyle w:val="Compact"/>
              <w:jc w:val="left"/>
            </w:pPr>
          </w:p>
        </w:tc>
        <w:tc>
          <w:tcPr/>
          <w:p>
            <w:pPr>
              <w:pStyle w:val="Compact"/>
              <w:jc w:val="left"/>
            </w:pP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DEC AX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2340H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1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0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0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MOV CX, 4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2340H</w:t>
            </w:r>
          </w:p>
        </w:tc>
        <w:tc>
          <w:tcPr/>
          <w:p>
            <w:pPr>
              <w:pStyle w:val="Compact"/>
              <w:jc w:val="left"/>
            </w:pPr>
          </w:p>
        </w:tc>
        <w:tc>
          <w:tcPr/>
          <w:p>
            <w:pPr>
              <w:pStyle w:val="Compact"/>
              <w:jc w:val="left"/>
            </w:pPr>
          </w:p>
        </w:tc>
        <w:tc>
          <w:tcPr/>
          <w:p>
            <w:pPr>
              <w:pStyle w:val="Compact"/>
              <w:jc w:val="left"/>
            </w:pP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MUL CX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8D00H</w:t>
            </w:r>
          </w:p>
        </w:tc>
        <w:tc>
          <w:tcPr/>
          <w:p>
            <w:pPr>
              <w:pStyle w:val="Compact"/>
              <w:jc w:val="left"/>
            </w:pPr>
          </w:p>
        </w:tc>
        <w:tc>
          <w:tcPr/>
          <w:p>
            <w:pPr>
              <w:pStyle w:val="Compact"/>
              <w:jc w:val="left"/>
            </w:pPr>
          </w:p>
        </w:tc>
        <w:tc>
          <w:tcPr/>
          <w:p>
            <w:pPr>
              <w:pStyle w:val="Compact"/>
              <w:jc w:val="left"/>
            </w:pPr>
          </w:p>
        </w:tc>
      </w:tr>
    </w:tbl>
    <w:p>
      <w:pPr>
        <w:pStyle w:val="BodyText"/>
      </w:pPr>
      <w:r>
        <w:t xml:space="preserve">CX = 0004H</w:t>
      </w:r>
    </w:p>
    <w:p>
      <w:pPr>
        <w:pStyle w:val="BodyText"/>
      </w:pPr>
    </w:p>
    <w:bookmarkEnd w:id="26"/>
    <w:sectPr/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99411">
    <w:nsid w:val="A99411"/>
    <w:multiLevelType w:val="multilevel"/>
    <w:lvl w:ilvl="0">
      <w:start w:val="1"/>
      <w:numFmt w:val="decimal"/>
      <w:lvlText w:val="%1."/>
      <w:lvlJc w:val="left"/>
      <w:pPr>
        <w:ind w:left="720" w:hanging="480"/>
      </w:pPr>
    </w:lvl>
    <w:lvl w:ilvl="1">
      <w:start w:val="1"/>
      <w:numFmt w:val="decimal"/>
      <w:lvlText w:val="%2."/>
      <w:lvlJc w:val="left"/>
      <w:pPr>
        <w:ind w:left="1440" w:hanging="480"/>
      </w:pPr>
    </w:lvl>
    <w:lvl w:ilvl="2">
      <w:start w:val="1"/>
      <w:numFmt w:val="decimal"/>
      <w:lvlText w:val="%3."/>
      <w:lvlJc w:val="left"/>
      <w:pPr>
        <w:ind w:left="2160" w:hanging="480"/>
      </w:pPr>
    </w:lvl>
    <w:lvl w:ilvl="3">
      <w:start w:val="1"/>
      <w:numFmt w:val="decimal"/>
      <w:lvlText w:val="%4."/>
      <w:lvlJc w:val="left"/>
      <w:pPr>
        <w:ind w:left="2880" w:hanging="480"/>
      </w:pPr>
    </w:lvl>
    <w:lvl w:ilvl="4">
      <w:start w:val="1"/>
      <w:numFmt w:val="decimal"/>
      <w:lvlText w:val="%5."/>
      <w:lvlJc w:val="left"/>
      <w:pPr>
        <w:ind w:left="3600" w:hanging="480"/>
      </w:pPr>
    </w:lvl>
    <w:lvl w:ilvl="5">
      <w:start w:val="1"/>
      <w:numFmt w:val="decimal"/>
      <w:lvlText w:val="%6."/>
      <w:lvlJc w:val="left"/>
      <w:pPr>
        <w:ind w:left="4320" w:hanging="480"/>
      </w:pPr>
    </w:lvl>
    <w:lvl w:ilvl="6">
      <w:start w:val="1"/>
      <w:numFmt w:val="decimal"/>
      <w:lvlText w:val="%7."/>
      <w:lvlJc w:val="left"/>
      <w:pPr>
        <w:ind w:left="5040" w:hanging="480"/>
      </w:pPr>
    </w:lvl>
    <w:lvl w:ilvl="7">
      <w:start w:val="1"/>
      <w:numFmt w:val="decimal"/>
      <w:lvlText w:val="%8."/>
      <w:lvlJc w:val="left"/>
      <w:pPr>
        <w:ind w:left="5760" w:hanging="480"/>
      </w:pPr>
    </w:lvl>
    <w:lvl w:ilvl="8">
      <w:start w:val="1"/>
      <w:numFmt w:val="decimal"/>
      <w:lvlText w:val="%9."/>
      <w:lvlJc w:val="left"/>
      <w:pPr>
        <w:ind w:left="6480" w:hanging="480"/>
      </w:pPr>
    </w:lvl>
  </w:abstractNum>
  <w:num w:numId="1000">
    <w:abstractNumId w:val="990"/>
  </w:num>
  <w:num w:numId="1001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2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3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4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5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6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stylePaneFormatFilter w:val="0004"/>
  <w:footnotePr>
    <w:footnote w:id="-1"/>
    <w:footnote w:id="0"/>
  </w:footnotePr>
  <w:rsids>
  </w:rsids>
  <w:clrSchemeMapping w:accent1="accent1" w:accent2="accent2" w:accent3="accent3" w:accent4="accent4" w:accent5="accent5" w:accent6="accent6" w:bg1="light1" w:bg2="light2" w:followedHyperlink="followedHyperlink" w:hyperlink="hyperlink" w:t1="dark1" w:t2="dark2"/>
  <w:zoom w:percent="100"/>
  <w:embedSystemFonts/>
  <w:proofState w:grammar="clean" w:spelling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m:mathPr>
    <m:mathFont m:val="Cambria Math"/>
    <m:brkBin m:val="before"/>
    <m:brkBinSub m:val="--"/>
    <m:smallFrac m:val="0"/>
    <m:dispDef/>
    <m:lMargin m:val="0"/>
    <m:rMargin m:val="0"/>
    <m:wrapRight/>
    <m:intLim m:val="subSup"/>
    <m:naryLim m:val="undOvr"/>
  </m:mathPr>
  <w:themeFontLang w:val="en-US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pPr>
      <w:spacing w:after="180" w:before="180"/>
    </w:pPr>
    <w:qFormat/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qFormat/>
    <w:pPr>
      <w:keepNext/>
      <w:keepLines/>
      <w:spacing w:after="240" w:before="480"/>
      <w:jc w:val="center"/>
    </w:pPr>
    <w:rPr>
      <w:rFonts w:asciiTheme="majorHAnsi" w:cstheme="majorBidi" w:eastAsiaTheme="majorEastAsia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3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uiPriority w:val="9"/>
    <w:qFormat/>
    <w:pPr>
      <w:keepNext/>
      <w:keepLines/>
      <w:spacing w:after="0" w:before="480"/>
      <w:outlineLvl w:val="0"/>
    </w:pPr>
    <w:rPr>
      <w:rFonts w:asciiTheme="majorHAnsi" w:cstheme="majorBidi" w:eastAsiaTheme="majorEastAsia" w:hAnsiTheme="majorHAnsi"/>
      <w:b/>
      <w:bCs/>
      <w:color w:themeColor="accent1" w:val="4F81BD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/>
      <w:keepLines/>
      <w:spacing w:after="0" w:before="200"/>
      <w:outlineLvl w:val="1"/>
    </w:pPr>
    <w:rPr>
      <w:rFonts w:asciiTheme="majorHAnsi" w:cstheme="majorBidi" w:eastAsiaTheme="majorEastAsia" w:hAnsiTheme="majorHAnsi"/>
      <w:b/>
      <w:bCs/>
      <w:color w:themeColor="accent1" w:val="4F81BD"/>
      <w:sz w:val="28"/>
      <w:szCs w:val="28"/>
    </w:rPr>
  </w:style>
  <w:style w:styleId="Heading3" w:type="paragraph">
    <w:name w:val="Heading 3"/>
    <w:basedOn w:val="Normal"/>
    <w:next w:val="BodyText"/>
    <w:uiPriority w:val="9"/>
    <w:unhideWhenUsed/>
    <w:qFormat/>
    <w:pPr>
      <w:keepNext/>
      <w:keepLines/>
      <w:spacing w:after="0" w:before="200"/>
      <w:outlineLvl w:val="2"/>
    </w:pPr>
    <w:rPr>
      <w:rFonts w:asciiTheme="majorHAnsi" w:cstheme="majorBidi" w:eastAsiaTheme="majorEastAsia" w:hAnsiTheme="majorHAnsi"/>
      <w:b/>
      <w:bCs/>
      <w:color w:themeColor="accent1" w:val="4F81BD"/>
      <w:sz w:val="24"/>
      <w:szCs w:val="24"/>
    </w:rPr>
  </w:style>
  <w:style w:styleId="Heading4" w:type="paragraph">
    <w:name w:val="Heading 4"/>
    <w:basedOn w:val="Normal"/>
    <w:next w:val="BodyText"/>
    <w:uiPriority w:val="9"/>
    <w:unhideWhenUsed/>
    <w:qFormat/>
    <w:pPr>
      <w:keepNext/>
      <w:keepLines/>
      <w:spacing w:after="0" w:before="200"/>
      <w:outlineLvl w:val="3"/>
    </w:pPr>
    <w:rPr>
      <w:rFonts w:asciiTheme="majorHAnsi" w:cstheme="majorBidi" w:eastAsiaTheme="majorEastAsia" w:hAnsiTheme="majorHAnsi"/>
      <w:i/>
      <w:bCs/>
      <w:color w:themeColor="accent1" w:val="4F81BD"/>
      <w:sz w:val="24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/>
      <w:keepLines/>
      <w:spacing w:after="0" w:before="200"/>
      <w:outlineLvl w:val="4"/>
    </w:pPr>
    <w:rPr>
      <w:rFonts w:asciiTheme="majorHAnsi" w:cstheme="majorBidi" w:eastAsiaTheme="majorEastAsia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/>
      <w:keepLines/>
      <w:spacing w:after="0" w:before="200"/>
      <w:outlineLvl w:val="5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7" w:type="paragraph">
    <w:name w:val="Heading 7"/>
    <w:basedOn w:val="Normal"/>
    <w:next w:val="BodyText"/>
    <w:uiPriority w:val="9"/>
    <w:unhideWhenUsed/>
    <w:qFormat/>
    <w:pPr>
      <w:keepNext/>
      <w:keepLines/>
      <w:spacing w:after="0" w:before="200"/>
      <w:outlineLvl w:val="6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/>
      <w:keepLines/>
      <w:spacing w:after="0" w:before="200"/>
      <w:outlineLvl w:val="7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/>
      <w:keepLines/>
      <w:spacing w:after="0" w:before="200"/>
      <w:outlineLvl w:val="8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vAlign w:val="bottom"/>
        <w:tcBorders>
          <w:bottom w:val="single"/>
        </w:tcBorders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color w:val="008000"/>
      <w:b/>
    </w:rPr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2023-03-23T13:52:25Z</dcterms:created>
  <dcterms:modified xsi:type="dcterms:W3CDTF">2023-03-23T13:52:25Z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